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9B6" w:rsidRDefault="007F39B6" w:rsidP="007F39B6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179765"/>
      <w:r w:rsidRPr="007F39B6">
        <w:rPr>
          <w:rFonts w:ascii="Times New Roman" w:hAnsi="Times New Roman" w:cs="Times New Roman"/>
          <w:sz w:val="24"/>
          <w:szCs w:val="24"/>
        </w:rPr>
        <w:t xml:space="preserve">Изменения от </w:t>
      </w:r>
      <w:r w:rsidR="00A062C4">
        <w:rPr>
          <w:rFonts w:ascii="Times New Roman" w:hAnsi="Times New Roman" w:cs="Times New Roman"/>
          <w:sz w:val="24"/>
          <w:szCs w:val="24"/>
        </w:rPr>
        <w:t>15.05.2020</w:t>
      </w:r>
      <w:r w:rsidRPr="007F39B6">
        <w:rPr>
          <w:rFonts w:ascii="Times New Roman" w:hAnsi="Times New Roman" w:cs="Times New Roman"/>
          <w:sz w:val="24"/>
          <w:szCs w:val="24"/>
        </w:rPr>
        <w:t>:</w:t>
      </w:r>
    </w:p>
    <w:p w:rsidR="00A062C4" w:rsidRPr="00A062C4" w:rsidRDefault="00A062C4" w:rsidP="00A062C4">
      <w:pPr>
        <w:pStyle w:val="a0"/>
        <w:numPr>
          <w:ilvl w:val="0"/>
          <w:numId w:val="0"/>
        </w:numPr>
        <w:spacing w:line="235" w:lineRule="auto"/>
        <w:rPr>
          <w:sz w:val="24"/>
          <w:szCs w:val="24"/>
        </w:rPr>
      </w:pPr>
      <w:r>
        <w:rPr>
          <w:sz w:val="24"/>
          <w:szCs w:val="24"/>
        </w:rPr>
        <w:t xml:space="preserve">2.7.3. </w:t>
      </w:r>
      <w:r w:rsidRPr="00A062C4">
        <w:rPr>
          <w:sz w:val="24"/>
          <w:szCs w:val="24"/>
        </w:rPr>
        <w:t>В рамках оценочной стадии комиссия по анализу предложений оценивает и сопоставляет предложения и проводит их ранжирование по степени предпочтительности для Заказчика исходя из следующих критериев:</w:t>
      </w:r>
    </w:p>
    <w:p w:rsidR="00A062C4" w:rsidRPr="00A062C4" w:rsidRDefault="00A062C4" w:rsidP="00A062C4">
      <w:pPr>
        <w:numPr>
          <w:ilvl w:val="1"/>
          <w:numId w:val="4"/>
        </w:numPr>
        <w:spacing w:after="0" w:line="235" w:lineRule="auto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цена договора с учетом срока оплаты, предложенного Участником;</w:t>
      </w:r>
    </w:p>
    <w:p w:rsidR="00A062C4" w:rsidRPr="00A062C4" w:rsidRDefault="00A062C4" w:rsidP="00A062C4">
      <w:pPr>
        <w:spacing w:after="0" w:line="235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В целях сравнения предложений – цена, предложенная Участником, пересчитывается с учетом предложенного им же срока оплаты по ключевой ставке Банка России, действующей на дату сравнения предложений.</w:t>
      </w:r>
    </w:p>
    <w:p w:rsidR="00A062C4" w:rsidRPr="001E1C77" w:rsidRDefault="00A062C4" w:rsidP="00A062C4">
      <w:pPr>
        <w:spacing w:after="0" w:line="235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</w:pPr>
      <w:r w:rsidRPr="001E1C77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  <w:t>Предпочтительным условием является оплата по истечении 60 (шестьдесят) календарных дней с даты поставки Товара.</w:t>
      </w:r>
    </w:p>
    <w:p w:rsidR="00A062C4" w:rsidRPr="001E1C77" w:rsidRDefault="00A062C4" w:rsidP="00A062C4">
      <w:pPr>
        <w:numPr>
          <w:ilvl w:val="1"/>
          <w:numId w:val="4"/>
        </w:numPr>
        <w:spacing w:after="0" w:line="235" w:lineRule="auto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</w:pPr>
      <w:r w:rsidRPr="001E1C77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  <w:t>срок поставки Товара;</w:t>
      </w:r>
    </w:p>
    <w:p w:rsidR="00A062C4" w:rsidRPr="00A062C4" w:rsidRDefault="00A062C4" w:rsidP="00A062C4">
      <w:pPr>
        <w:spacing w:after="0" w:line="235" w:lineRule="auto"/>
        <w:ind w:left="792"/>
        <w:jc w:val="both"/>
        <w:rPr>
          <w:rFonts w:ascii="Times New Roman" w:eastAsia="Times New Roman" w:hAnsi="Times New Roman" w:cs="Times New Roman"/>
          <w:snapToGrid w:val="0"/>
          <w:color w:val="800000"/>
          <w:sz w:val="12"/>
          <w:szCs w:val="12"/>
          <w:highlight w:val="yellow"/>
          <w:lang w:eastAsia="ru-RU"/>
        </w:rPr>
      </w:pPr>
    </w:p>
    <w:p w:rsidR="00A062C4" w:rsidRPr="00A062C4" w:rsidRDefault="00A062C4" w:rsidP="00A062C4">
      <w:pPr>
        <w:spacing w:after="0" w:line="235" w:lineRule="auto"/>
        <w:ind w:left="792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  <w:t>Вес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6611"/>
        <w:gridCol w:w="1833"/>
      </w:tblGrid>
      <w:tr w:rsidR="00A062C4" w:rsidRPr="00A062C4" w:rsidTr="005E4848">
        <w:tc>
          <w:tcPr>
            <w:tcW w:w="95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 xml:space="preserve">№ </w:t>
            </w:r>
            <w:proofErr w:type="spellStart"/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п.п</w:t>
            </w:r>
            <w:proofErr w:type="spellEnd"/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Критерий</w:t>
            </w:r>
          </w:p>
        </w:tc>
        <w:tc>
          <w:tcPr>
            <w:tcW w:w="194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Вес критерия, %</w:t>
            </w:r>
          </w:p>
        </w:tc>
      </w:tr>
      <w:tr w:rsidR="00A062C4" w:rsidRPr="00A062C4" w:rsidTr="005E4848">
        <w:tc>
          <w:tcPr>
            <w:tcW w:w="95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Цена договора с учетом срока оплаты, предложенного Участником</w:t>
            </w:r>
          </w:p>
        </w:tc>
        <w:tc>
          <w:tcPr>
            <w:tcW w:w="194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80</w:t>
            </w:r>
          </w:p>
        </w:tc>
      </w:tr>
      <w:tr w:rsidR="00A062C4" w:rsidRPr="00A062C4" w:rsidTr="005E4848">
        <w:tc>
          <w:tcPr>
            <w:tcW w:w="95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Срок поставки Товара</w:t>
            </w:r>
          </w:p>
        </w:tc>
        <w:tc>
          <w:tcPr>
            <w:tcW w:w="1949" w:type="dxa"/>
            <w:shd w:val="clear" w:color="auto" w:fill="auto"/>
          </w:tcPr>
          <w:p w:rsidR="00A062C4" w:rsidRPr="00A062C4" w:rsidRDefault="00A062C4" w:rsidP="00A062C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color w:val="8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</w:tr>
    </w:tbl>
    <w:p w:rsidR="00A062C4" w:rsidRPr="00A062C4" w:rsidRDefault="00A062C4" w:rsidP="00A062C4">
      <w:pPr>
        <w:spacing w:after="0" w:line="235" w:lineRule="auto"/>
        <w:ind w:left="79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</w:pPr>
    </w:p>
    <w:p w:rsidR="00A062C4" w:rsidRPr="00A062C4" w:rsidRDefault="00A062C4" w:rsidP="00A062C4">
      <w:pPr>
        <w:spacing w:after="0" w:line="235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  <w:t>При ранжировании предложений по каждому критерию за наилучшее предложение начисляется 100 баллов, за остальные предложения – количество баллов пропорционально значению критерия относительно наилучшего</w:t>
      </w:r>
      <w:r w:rsidRPr="00A062C4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.</w:t>
      </w:r>
    </w:p>
    <w:p w:rsidR="00A062C4" w:rsidRDefault="00A062C4" w:rsidP="007F39B6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A062C4" w:rsidRPr="00A062C4" w:rsidRDefault="00A062C4" w:rsidP="00A062C4">
      <w:pPr>
        <w:keepNext/>
        <w:spacing w:line="228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62C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Таблица-2. Прочие коммерческие условия оказания услуг</w:t>
      </w:r>
    </w:p>
    <w:p w:rsidR="00A062C4" w:rsidRPr="00A062C4" w:rsidRDefault="00A062C4" w:rsidP="00A062C4">
      <w:pPr>
        <w:keepNext/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85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382"/>
        <w:gridCol w:w="4110"/>
      </w:tblGrid>
      <w:tr w:rsidR="00A062C4" w:rsidRPr="00A062C4" w:rsidTr="00A062C4">
        <w:tc>
          <w:tcPr>
            <w:tcW w:w="1008" w:type="dxa"/>
          </w:tcPr>
          <w:p w:rsidR="00A062C4" w:rsidRPr="00A062C4" w:rsidRDefault="00A062C4" w:rsidP="00A062C4">
            <w:pPr>
              <w:keepNext/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82" w:type="dxa"/>
          </w:tcPr>
          <w:p w:rsidR="00A062C4" w:rsidRPr="00A062C4" w:rsidRDefault="00A062C4" w:rsidP="00A062C4">
            <w:pPr>
              <w:keepNext/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0" w:type="dxa"/>
          </w:tcPr>
          <w:p w:rsidR="00A062C4" w:rsidRPr="00A062C4" w:rsidRDefault="00A062C4" w:rsidP="00A062C4">
            <w:pPr>
              <w:keepNext/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A062C4" w:rsidRPr="00A062C4" w:rsidTr="00A062C4">
        <w:tc>
          <w:tcPr>
            <w:tcW w:w="1008" w:type="dxa"/>
          </w:tcPr>
          <w:p w:rsidR="00A062C4" w:rsidRPr="00A062C4" w:rsidRDefault="00A062C4" w:rsidP="00A062C4">
            <w:pPr>
              <w:numPr>
                <w:ilvl w:val="0"/>
                <w:numId w:val="5"/>
              </w:num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Сроки оплаты</w:t>
            </w:r>
          </w:p>
        </w:tc>
        <w:tc>
          <w:tcPr>
            <w:tcW w:w="4110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062C4" w:rsidRPr="00A062C4" w:rsidTr="00A062C4">
        <w:trPr>
          <w:cantSplit/>
        </w:trPr>
        <w:tc>
          <w:tcPr>
            <w:tcW w:w="1008" w:type="dxa"/>
          </w:tcPr>
          <w:p w:rsidR="00A062C4" w:rsidRPr="00A062C4" w:rsidRDefault="00A062C4" w:rsidP="00A062C4">
            <w:pPr>
              <w:spacing w:after="0" w:line="228" w:lineRule="auto"/>
              <w:ind w:left="-3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  <w:t>2.</w:t>
            </w:r>
          </w:p>
        </w:tc>
        <w:tc>
          <w:tcPr>
            <w:tcW w:w="3382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  <w:t>Срок поставки</w:t>
            </w:r>
          </w:p>
        </w:tc>
        <w:tc>
          <w:tcPr>
            <w:tcW w:w="4110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062C4" w:rsidRPr="00A062C4" w:rsidTr="00A062C4">
        <w:trPr>
          <w:cantSplit/>
        </w:trPr>
        <w:tc>
          <w:tcPr>
            <w:tcW w:w="1008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382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062C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4110" w:type="dxa"/>
          </w:tcPr>
          <w:p w:rsidR="00A062C4" w:rsidRPr="00A062C4" w:rsidRDefault="00A062C4" w:rsidP="00A062C4">
            <w:pPr>
              <w:spacing w:after="0" w:line="228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062C4" w:rsidRPr="00A062C4" w:rsidRDefault="00A062C4" w:rsidP="00A062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062C4" w:rsidRPr="00A062C4" w:rsidRDefault="00A062C4" w:rsidP="00A06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</w:t>
      </w:r>
    </w:p>
    <w:p w:rsidR="00A062C4" w:rsidRPr="00A062C4" w:rsidRDefault="00A062C4" w:rsidP="00A062C4">
      <w:pPr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(подпись, М.П.)</w:t>
      </w:r>
    </w:p>
    <w:p w:rsidR="00A062C4" w:rsidRPr="00A062C4" w:rsidRDefault="00A062C4" w:rsidP="00A06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</w:t>
      </w:r>
    </w:p>
    <w:p w:rsidR="00A062C4" w:rsidRPr="00A062C4" w:rsidRDefault="00A062C4" w:rsidP="00A062C4">
      <w:pPr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A062C4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(фамилия, имя, отчество подписавшего, должность)</w:t>
      </w:r>
    </w:p>
    <w:p w:rsidR="00A062C4" w:rsidRPr="007F39B6" w:rsidRDefault="00A062C4" w:rsidP="007F39B6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  <w:bookmarkStart w:id="6" w:name="_Ref56229451"/>
      <w:bookmarkEnd w:id="0"/>
      <w:bookmarkEnd w:id="1"/>
      <w:bookmarkEnd w:id="2"/>
      <w:bookmarkEnd w:id="3"/>
      <w:bookmarkEnd w:id="4"/>
      <w:bookmarkEnd w:id="5"/>
    </w:p>
    <w:p w:rsidR="007F39B6" w:rsidRPr="009A204F" w:rsidRDefault="007F39B6" w:rsidP="007F39B6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8A51B1" w:rsidRDefault="001E1C77">
      <w:bookmarkStart w:id="7" w:name="_GoBack"/>
      <w:bookmarkEnd w:id="6"/>
      <w:bookmarkEnd w:id="7"/>
    </w:p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601"/>
    <w:multiLevelType w:val="multilevel"/>
    <w:tmpl w:val="2FFAE182"/>
    <w:lvl w:ilvl="0">
      <w:start w:val="2"/>
      <w:numFmt w:val="decimal"/>
      <w:lvlText w:val="%1."/>
      <w:lvlJc w:val="left"/>
      <w:pPr>
        <w:ind w:left="563" w:hanging="563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3" w:hanging="563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9E0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155B2B"/>
    <w:multiLevelType w:val="multilevel"/>
    <w:tmpl w:val="AA74C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72"/>
    <w:rsid w:val="001E1C77"/>
    <w:rsid w:val="00232B6F"/>
    <w:rsid w:val="006072CB"/>
    <w:rsid w:val="007F39B6"/>
    <w:rsid w:val="00987A26"/>
    <w:rsid w:val="00A062C4"/>
    <w:rsid w:val="00A2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517F-82F8-4580-97EF-FA2BF57F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39B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39B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39B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39B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7F39B6"/>
    <w:rPr>
      <w:color w:val="0000FF"/>
      <w:u w:val="single"/>
    </w:rPr>
  </w:style>
  <w:style w:type="paragraph" w:customStyle="1" w:styleId="a">
    <w:name w:val="Пункт"/>
    <w:basedOn w:val="a2"/>
    <w:rsid w:val="007F39B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link w:val="11"/>
    <w:rsid w:val="007F39B6"/>
    <w:pPr>
      <w:numPr>
        <w:ilvl w:val="3"/>
      </w:numPr>
    </w:pPr>
  </w:style>
  <w:style w:type="paragraph" w:customStyle="1" w:styleId="a1">
    <w:name w:val="Подподпункт"/>
    <w:basedOn w:val="a0"/>
    <w:rsid w:val="007F39B6"/>
    <w:pPr>
      <w:numPr>
        <w:ilvl w:val="4"/>
      </w:numPr>
    </w:pPr>
  </w:style>
  <w:style w:type="paragraph" w:styleId="a7">
    <w:name w:val="List Paragraph"/>
    <w:basedOn w:val="a2"/>
    <w:uiPriority w:val="34"/>
    <w:qFormat/>
    <w:rsid w:val="007F39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Подпункт Знак1"/>
    <w:basedOn w:val="a3"/>
    <w:link w:val="a0"/>
    <w:rsid w:val="00A062C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7</cp:revision>
  <dcterms:created xsi:type="dcterms:W3CDTF">2019-08-22T07:05:00Z</dcterms:created>
  <dcterms:modified xsi:type="dcterms:W3CDTF">2020-05-15T01:37:00Z</dcterms:modified>
</cp:coreProperties>
</file>