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FB612" w14:textId="77777777"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14:paraId="10B8B89E" w14:textId="77777777"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14:paraId="198F446A" w14:textId="77777777"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14:paraId="28406722" w14:textId="77777777"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14:paraId="49C147E9" w14:textId="77777777" w:rsidR="00667BA2" w:rsidRPr="00667BA2" w:rsidRDefault="00667BA2">
      <w:pPr>
        <w:rPr>
          <w:lang w:val="ru-RU"/>
        </w:rPr>
      </w:pPr>
    </w:p>
    <w:p w14:paraId="16F09734" w14:textId="77777777" w:rsidR="00667BA2" w:rsidRPr="00F14630" w:rsidRDefault="00667BA2" w:rsidP="00667BA2">
      <w:pPr>
        <w:ind w:firstLine="284"/>
        <w:jc w:val="center"/>
        <w:rPr>
          <w:b/>
          <w:sz w:val="22"/>
          <w:szCs w:val="22"/>
          <w:lang w:val="ru-RU"/>
        </w:rPr>
      </w:pPr>
      <w:r w:rsidRPr="00F14630">
        <w:rPr>
          <w:b/>
          <w:sz w:val="22"/>
          <w:szCs w:val="22"/>
          <w:lang w:val="ru-RU"/>
        </w:rPr>
        <w:t xml:space="preserve">Техническое задание на </w:t>
      </w:r>
      <w:r w:rsidR="008F26BB">
        <w:rPr>
          <w:b/>
          <w:sz w:val="22"/>
          <w:szCs w:val="22"/>
          <w:lang w:val="ru-RU"/>
        </w:rPr>
        <w:t>поставку</w:t>
      </w:r>
      <w:r w:rsidRPr="00F14630">
        <w:rPr>
          <w:b/>
          <w:sz w:val="22"/>
          <w:szCs w:val="22"/>
          <w:lang w:val="ru-RU"/>
        </w:rPr>
        <w:t xml:space="preserve"> брендированной</w:t>
      </w:r>
      <w:r w:rsidR="00434CD7" w:rsidRPr="00F14630">
        <w:rPr>
          <w:b/>
          <w:sz w:val="22"/>
          <w:szCs w:val="22"/>
          <w:lang w:val="ru-RU"/>
        </w:rPr>
        <w:t xml:space="preserve"> </w:t>
      </w:r>
      <w:proofErr w:type="spellStart"/>
      <w:r w:rsidR="00434CD7" w:rsidRPr="00F14630">
        <w:rPr>
          <w:b/>
          <w:sz w:val="22"/>
          <w:szCs w:val="22"/>
          <w:lang w:val="ru-RU"/>
        </w:rPr>
        <w:t>имиджевой</w:t>
      </w:r>
      <w:proofErr w:type="spellEnd"/>
      <w:r w:rsidRPr="00F14630">
        <w:rPr>
          <w:b/>
          <w:sz w:val="22"/>
          <w:szCs w:val="22"/>
          <w:lang w:val="ru-RU"/>
        </w:rPr>
        <w:t xml:space="preserve"> продукции.</w:t>
      </w:r>
    </w:p>
    <w:p w14:paraId="26E56C66" w14:textId="77777777"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14:paraId="4A7C5BF9" w14:textId="77777777"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14:paraId="1FE12DE9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r w:rsidR="001C37E6" w:rsidRPr="001C37E6">
        <w:rPr>
          <w:sz w:val="22"/>
          <w:szCs w:val="22"/>
        </w:rPr>
        <w:t xml:space="preserve">брендированной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14:paraId="1CAAFDF1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r w:rsidR="001C37E6" w:rsidRPr="001C37E6">
        <w:rPr>
          <w:sz w:val="22"/>
          <w:szCs w:val="22"/>
        </w:rPr>
        <w:t xml:space="preserve">брендированной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proofErr w:type="gramStart"/>
      <w:r w:rsidRPr="00F14630">
        <w:rPr>
          <w:sz w:val="22"/>
          <w:szCs w:val="22"/>
        </w:rPr>
        <w:t>продукции  на</w:t>
      </w:r>
      <w:proofErr w:type="gramEnd"/>
      <w:r w:rsidRPr="00F14630">
        <w:rPr>
          <w:sz w:val="22"/>
          <w:szCs w:val="22"/>
        </w:rPr>
        <w:t xml:space="preserve"> склад Заказчика.  </w:t>
      </w:r>
      <w:bookmarkStart w:id="3" w:name="_Toc161728041"/>
      <w:bookmarkStart w:id="4" w:name="_Toc108421507"/>
    </w:p>
    <w:p w14:paraId="66DCC62A" w14:textId="77777777"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14:paraId="3EAB1B44" w14:textId="77777777"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 xml:space="preserve">2. Подробное описание брендированной </w:t>
      </w:r>
      <w:proofErr w:type="spellStart"/>
      <w:r w:rsidRPr="00F14630">
        <w:rPr>
          <w:szCs w:val="22"/>
          <w:u w:val="single"/>
        </w:rPr>
        <w:t>имиджевой</w:t>
      </w:r>
      <w:proofErr w:type="spellEnd"/>
      <w:r w:rsidRPr="00F14630">
        <w:rPr>
          <w:szCs w:val="22"/>
          <w:u w:val="single"/>
        </w:rPr>
        <w:t xml:space="preserve"> продукции:</w:t>
      </w:r>
    </w:p>
    <w:p w14:paraId="4541C9A8" w14:textId="77777777"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14:paraId="07E21697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нанесение на продукцию и упаковку (по согласованию с заказчиком) логотипа ООО «Иркутскэнергосбыт». Нанесение </w:t>
      </w:r>
      <w:r w:rsidRPr="009F1771">
        <w:rPr>
          <w:sz w:val="22"/>
          <w:szCs w:val="22"/>
          <w:lang w:val="ru-RU"/>
        </w:rPr>
        <w:t>логотипа</w:t>
      </w:r>
      <w:r w:rsidR="004D05B7" w:rsidRPr="009F1771">
        <w:rPr>
          <w:sz w:val="22"/>
          <w:szCs w:val="22"/>
          <w:lang w:val="ru-RU"/>
        </w:rPr>
        <w:t xml:space="preserve"> </w:t>
      </w:r>
      <w:r w:rsidRPr="009F1771">
        <w:rPr>
          <w:sz w:val="22"/>
          <w:szCs w:val="22"/>
          <w:lang w:val="ru-RU"/>
        </w:rPr>
        <w:t xml:space="preserve">серебряным, либо синим цветом, в зависимости от цвета поверхности продукции. Перечень </w:t>
      </w:r>
      <w:r w:rsidR="00512817">
        <w:rPr>
          <w:sz w:val="22"/>
          <w:szCs w:val="22"/>
          <w:lang w:val="ru-RU"/>
        </w:rPr>
        <w:t>продукции: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23"/>
        <w:gridCol w:w="6508"/>
        <w:gridCol w:w="851"/>
      </w:tblGrid>
      <w:tr w:rsidR="006428E1" w:rsidRPr="00AF048C" w14:paraId="4C0A1613" w14:textId="77777777" w:rsidTr="0040528F">
        <w:trPr>
          <w:trHeight w:val="1125"/>
        </w:trPr>
        <w:tc>
          <w:tcPr>
            <w:tcW w:w="567" w:type="dxa"/>
            <w:shd w:val="clear" w:color="auto" w:fill="auto"/>
            <w:vAlign w:val="center"/>
            <w:hideMark/>
          </w:tcPr>
          <w:p w14:paraId="07894932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38C9A854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2B4B7BF4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Технические характеристики  (цвета обоснованы утверждённым фирменным стилем Заказчика)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F0687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6428E1" w:rsidRPr="00AF048C" w14:paraId="04B58E2F" w14:textId="77777777" w:rsidTr="0040528F">
        <w:trPr>
          <w:trHeight w:val="3435"/>
        </w:trPr>
        <w:tc>
          <w:tcPr>
            <w:tcW w:w="567" w:type="dxa"/>
            <w:shd w:val="clear" w:color="auto" w:fill="auto"/>
            <w:vAlign w:val="center"/>
            <w:hideMark/>
          </w:tcPr>
          <w:p w14:paraId="39FDB71C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55668FB4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"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Связной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5AA3C0C2" w14:textId="77777777" w:rsidR="006428E1" w:rsidRPr="00AF048C" w:rsidRDefault="006428E1" w:rsidP="000A5B71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входить: Универсальное зарядное устройство с функцией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безпроводной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зарядки и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флешка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в подарочной упаковке. Универсальное зарядное устройство должно иметь аккумулятор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polymer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объем не менее 8000 </w:t>
            </w:r>
            <w:proofErr w:type="spellStart"/>
            <w:proofErr w:type="gramStart"/>
            <w:r w:rsidRPr="00AF04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,.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Зарядное устройство должно иметь: индикацию зарядки, порта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lightning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Материал: пластик, металл.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должен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быть  объемом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не менее 16Гб, с функцией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OTG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с тремя разъемами: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Type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C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и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можно подключать к мобильным устройствам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поддерживащих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стандарт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On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The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Go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материал металл, цвет синий или серебристый. На корпусе зарядного устройства должна быть выполнена уф-печать, </w:t>
            </w:r>
            <w:proofErr w:type="spellStart"/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флешнакопителя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 лазерная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гравировка логотипа Заказчика. Набор должен быть упакован в подарочную упаковку с печатью логотипа Заказчика серебристого цвета.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26C08C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</w:tr>
      <w:tr w:rsidR="006428E1" w:rsidRPr="00AF048C" w14:paraId="7C9355DB" w14:textId="77777777" w:rsidTr="0040528F">
        <w:trPr>
          <w:trHeight w:val="3360"/>
        </w:trPr>
        <w:tc>
          <w:tcPr>
            <w:tcW w:w="567" w:type="dxa"/>
            <w:shd w:val="clear" w:color="auto" w:fill="auto"/>
            <w:vAlign w:val="center"/>
            <w:hideMark/>
          </w:tcPr>
          <w:p w14:paraId="441C53F3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0DCD77EF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Набор: универсальное зарядное устройство  и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и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флешка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в подарочной упаковке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1E7EB975" w14:textId="77777777" w:rsidR="006428E1" w:rsidRPr="00AF048C" w:rsidRDefault="006428E1" w:rsidP="000A5B71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входить: Универсальное зарядное устройство и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флешка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в подарочной упаковке. Универсальн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ое зарядное устройство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должно иметь аккумулятор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polymer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объем не менее 8000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Зарядное устройство должно иметь: индикацию зарядки, порта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lightning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провод с разъемом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Материал:  металл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должен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быть  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>объемом</w:t>
            </w:r>
            <w:proofErr w:type="gramEnd"/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не менее 16Гб,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материал: металл/кожа. На зарядном устройстве и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флешнакопителе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выполнена  лазерная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гравировка логотипа Заказчика. Набор должен быть упакован в подарочную упаковку с печатью логотипа Заказчика серебристого цвета.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9D88BA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</w:tr>
      <w:tr w:rsidR="006428E1" w:rsidRPr="00AF048C" w14:paraId="1E05194B" w14:textId="77777777" w:rsidTr="006428E1">
        <w:trPr>
          <w:trHeight w:val="1977"/>
        </w:trPr>
        <w:tc>
          <w:tcPr>
            <w:tcW w:w="567" w:type="dxa"/>
            <w:shd w:val="clear" w:color="auto" w:fill="auto"/>
            <w:vAlign w:val="center"/>
            <w:hideMark/>
          </w:tcPr>
          <w:p w14:paraId="3B51B05D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7E7B8BA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Плед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для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пикника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1FA6825A" w14:textId="77777777" w:rsidR="006428E1" w:rsidRPr="00AF048C" w:rsidRDefault="006428E1" w:rsidP="0040528F">
            <w:pPr>
              <w:spacing w:after="240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Складной двусторонний плед для пикника должен быть размером не менее 130х140см.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 Нижний слой должен быть из полиэстера  плотностью не менее 210 г/м2 с водоотталкивающим покрытием, верхний слой должен быть из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флиса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плотностью не менее 180 г/м2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Упаковка : чехол на завязках из полиэстера. На пледе должна быть выполнена вышивка логотипа Заказчика, на чехле печать логотипа.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E374CF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</w:tr>
      <w:tr w:rsidR="006428E1" w:rsidRPr="00AF048C" w14:paraId="6FAAC7F9" w14:textId="77777777" w:rsidTr="006428E1">
        <w:trPr>
          <w:trHeight w:val="1257"/>
        </w:trPr>
        <w:tc>
          <w:tcPr>
            <w:tcW w:w="567" w:type="dxa"/>
            <w:shd w:val="clear" w:color="auto" w:fill="auto"/>
            <w:vAlign w:val="center"/>
            <w:hideMark/>
          </w:tcPr>
          <w:p w14:paraId="44A821E5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01292B42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Плюшевый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плед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236D2705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Ультра-плюшевый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флисовый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плед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дожен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быть размером не менее 180х150мм. Материал должен быть фланелевый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флис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плотностью не менее 350 г/м2. На пледе должна быть выполнена вышивка либо шеврон с вышивкой логотипа Заказчика. Плед должен быть упакован в подарочную упаковку с лентой с логотипом Заказчика.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7EAC75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</w:tr>
      <w:tr w:rsidR="006428E1" w:rsidRPr="00AF048C" w14:paraId="080D9102" w14:textId="77777777" w:rsidTr="006428E1">
        <w:trPr>
          <w:trHeight w:val="17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69E40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/>
              </w:rPr>
              <w:t>5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2FB19FA5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цветных карандашей с раскрасками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4C463EBA" w14:textId="77777777" w:rsidR="006428E1" w:rsidRPr="00AF048C" w:rsidRDefault="006428E1" w:rsidP="005B7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В наборе должно быть 12 цветных карандашей и 12 тематических рисунков для раскрашивания с логотипом Заказчика. Все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карандаши должны быть заточены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 На картонной упаковке должна быть выполнена печать логотипа Заказчика.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E151D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6428E1" w:rsidRPr="00AF048C" w14:paraId="168BF31B" w14:textId="77777777" w:rsidTr="006428E1">
        <w:trPr>
          <w:trHeight w:val="2056"/>
        </w:trPr>
        <w:tc>
          <w:tcPr>
            <w:tcW w:w="567" w:type="dxa"/>
            <w:shd w:val="clear" w:color="auto" w:fill="auto"/>
            <w:vAlign w:val="bottom"/>
            <w:hideMark/>
          </w:tcPr>
          <w:p w14:paraId="0B809C6C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r w:rsidRPr="00AF048C">
              <w:rPr>
                <w:noProof/>
                <w:color w:val="000000"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17A18B16" wp14:editId="2B618BC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333375</wp:posOffset>
                  </wp:positionV>
                  <wp:extent cx="19050" cy="428625"/>
                  <wp:effectExtent l="0" t="635" r="0" b="0"/>
                  <wp:wrapNone/>
                  <wp:docPr id="115" name="Рисунок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Рисунок 46" descr="ÐÐ°ÑÑÐ¸Ð½ÐºÐ¸ Ð¿Ð¾ Ð·Ð°Ð¿ÑÐ¾ÑÑ asti martini 200 Ð¼Ð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" cy="409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  <w:lang w:eastAsia="ru-RU"/>
              </w:rPr>
              <w:t>6</w:t>
            </w:r>
          </w:p>
          <w:p w14:paraId="5FFD9288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1DEB4732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Кружка для раскрашивания с цветными карандашами </w:t>
            </w:r>
          </w:p>
        </w:tc>
        <w:tc>
          <w:tcPr>
            <w:tcW w:w="6508" w:type="dxa"/>
            <w:shd w:val="clear" w:color="auto" w:fill="auto"/>
            <w:hideMark/>
          </w:tcPr>
          <w:p w14:paraId="66171032" w14:textId="77777777" w:rsidR="006428E1" w:rsidRPr="00AF048C" w:rsidRDefault="006428E1" w:rsidP="005B728F">
            <w:pPr>
              <w:spacing w:after="240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Кружка должна быть пластиковой объемом не менее 320мл. В комплекте должно быть 4 листа для раскрашивания с тематическими рисунками и логотипом Заказчика и 4 цветных заточенных карандаша. На кружке расположена прозрачная съемная оболочка для вставки, в которую должен вставляться готовый рисунок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52F80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</w:tr>
      <w:tr w:rsidR="006428E1" w:rsidRPr="00AF048C" w14:paraId="6EC4CFF0" w14:textId="77777777" w:rsidTr="006428E1">
        <w:trPr>
          <w:trHeight w:val="2544"/>
        </w:trPr>
        <w:tc>
          <w:tcPr>
            <w:tcW w:w="567" w:type="dxa"/>
            <w:shd w:val="clear" w:color="auto" w:fill="auto"/>
            <w:vAlign w:val="center"/>
            <w:hideMark/>
          </w:tcPr>
          <w:p w14:paraId="11FA0FBA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13A1FE6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цветных карандашей с точилкой в пенале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6DE67F69" w14:textId="77777777" w:rsidR="006428E1" w:rsidRPr="00AF048C" w:rsidRDefault="006428E1" w:rsidP="005B7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 должен состоять из 8 цветных карандашей.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>Все карандаши должны быть заточены. В набор должна входить точилка из прозрачного пластика.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>Набор должен быть в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текстильном чехле синего цвета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с карабином. На чехле должна быть выполнена печать логотипа Заказчика. 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B2DC93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</w:tr>
      <w:tr w:rsidR="006428E1" w:rsidRPr="00AF048C" w14:paraId="636B482E" w14:textId="77777777" w:rsidTr="006428E1">
        <w:trPr>
          <w:trHeight w:val="1988"/>
        </w:trPr>
        <w:tc>
          <w:tcPr>
            <w:tcW w:w="567" w:type="dxa"/>
            <w:shd w:val="clear" w:color="auto" w:fill="auto"/>
            <w:vAlign w:val="center"/>
            <w:hideMark/>
          </w:tcPr>
          <w:p w14:paraId="0F6A108B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73095CC4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в чехле: термос, 2 кружки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4938B4DA" w14:textId="77777777" w:rsidR="006428E1" w:rsidRPr="00AF048C" w:rsidRDefault="006428E1" w:rsidP="005B7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должен состоять из металлического термоса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объемом не менее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500мл и двух металлических кружек объемом 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не менее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220мл. Набор упакован д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олжен быть в чехол из </w:t>
            </w:r>
            <w:proofErr w:type="spellStart"/>
            <w:r w:rsidR="005B728F">
              <w:rPr>
                <w:color w:val="000000"/>
                <w:sz w:val="22"/>
                <w:szCs w:val="22"/>
                <w:lang w:val="ru-RU" w:eastAsia="ru-RU"/>
              </w:rPr>
              <w:t>полистера</w:t>
            </w:r>
            <w:proofErr w:type="spellEnd"/>
            <w:r w:rsidR="005B728F">
              <w:rPr>
                <w:color w:val="000000"/>
                <w:sz w:val="22"/>
                <w:szCs w:val="22"/>
                <w:lang w:val="ru-RU" w:eastAsia="ru-RU"/>
              </w:rPr>
              <w:t>.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На термосе и кружках должна быть выполнена лазерная гравировка логотипа Заказчика. На чехле печать логотипа Заказчика.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7EED8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</w:tr>
      <w:tr w:rsidR="006428E1" w:rsidRPr="00AF048C" w14:paraId="7319238A" w14:textId="77777777" w:rsidTr="0040528F">
        <w:trPr>
          <w:trHeight w:val="2190"/>
        </w:trPr>
        <w:tc>
          <w:tcPr>
            <w:tcW w:w="567" w:type="dxa"/>
            <w:shd w:val="clear" w:color="auto" w:fill="auto"/>
            <w:vAlign w:val="center"/>
            <w:hideMark/>
          </w:tcPr>
          <w:p w14:paraId="25BCFB62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5E049CF1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Термос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чехлом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7205A82F" w14:textId="77777777" w:rsidR="006428E1" w:rsidRPr="00AF048C" w:rsidRDefault="006428E1" w:rsidP="005B7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Термос дол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>жен быть объемом не менее 500мл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. Материал термоса: нержавеющая сталь с покрытием софт-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У термоса должна быть вакуумная изоляция и двойные стенки. Термос должен быть в дорожном чехле из искусственной кожи. На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термосе  должна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быть выполнена круговая лазерная гравировка логотипа Заказчика. На чехле печать логотипа Заказчика.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11FCB9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</w:tr>
      <w:tr w:rsidR="006428E1" w:rsidRPr="00AF048C" w14:paraId="032891A7" w14:textId="77777777" w:rsidTr="006428E1">
        <w:trPr>
          <w:trHeight w:val="1285"/>
        </w:trPr>
        <w:tc>
          <w:tcPr>
            <w:tcW w:w="567" w:type="dxa"/>
            <w:shd w:val="clear" w:color="auto" w:fill="auto"/>
            <w:vAlign w:val="center"/>
            <w:hideMark/>
          </w:tcPr>
          <w:p w14:paraId="26755946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7EEE9AE2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Термос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ручкой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22B8C2BE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Термос емкостью не менее 1000 мл, цвет: серебристый, материал: металл, пластик. На термосе должна быть ручка из пластика. На корпусе термоса должна быть выполнена круговая лазерная гравировка логотипа Заказчика.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13C991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</w:tr>
      <w:tr w:rsidR="006428E1" w:rsidRPr="00AF048C" w14:paraId="02E68F8B" w14:textId="77777777" w:rsidTr="0040528F">
        <w:trPr>
          <w:trHeight w:val="2190"/>
        </w:trPr>
        <w:tc>
          <w:tcPr>
            <w:tcW w:w="567" w:type="dxa"/>
            <w:shd w:val="clear" w:color="auto" w:fill="auto"/>
            <w:vAlign w:val="center"/>
            <w:hideMark/>
          </w:tcPr>
          <w:p w14:paraId="46685C34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2CA61B00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Фонарик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магнитном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креплении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7B668CE3" w14:textId="77777777" w:rsidR="006428E1" w:rsidRPr="00AF048C" w:rsidRDefault="006428E1" w:rsidP="000A5B71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Магнитное крепление должно позволять надежно закрепить фонарик на одежде (воротнике, капюшоне или кармане), сумке или велосипеде. Материал фонарика: металл, крепления: силикон. 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>Светодиод должен быть белого цвета с тремя режимами работы: стандартный, экономичный, мигающий. Аккумулятор Литий-полимерный (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Po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). В комплекте должен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быть  кабель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для зарядки. На фонарике должна быть выполнена лазерная гравировка логотипа Заказчика. Фонарик </w:t>
            </w:r>
            <w:r w:rsidR="000A5B71" w:rsidRPr="00AF048C">
              <w:rPr>
                <w:color w:val="000000"/>
                <w:sz w:val="22"/>
                <w:szCs w:val="22"/>
                <w:lang w:val="ru-RU" w:eastAsia="ru-RU"/>
              </w:rPr>
              <w:t>упакован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в фирменную коробку.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37E205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</w:tr>
      <w:tr w:rsidR="006428E1" w:rsidRPr="00AF048C" w14:paraId="2AF6AB11" w14:textId="77777777" w:rsidTr="0040528F">
        <w:trPr>
          <w:trHeight w:val="1935"/>
        </w:trPr>
        <w:tc>
          <w:tcPr>
            <w:tcW w:w="567" w:type="dxa"/>
            <w:shd w:val="clear" w:color="auto" w:fill="auto"/>
            <w:vAlign w:val="center"/>
            <w:hideMark/>
          </w:tcPr>
          <w:p w14:paraId="621D8409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215F447C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Универсальное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зарядное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устройство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5ED31326" w14:textId="77777777" w:rsidR="006428E1" w:rsidRPr="00AF048C" w:rsidRDefault="006428E1" w:rsidP="000A5B71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Универсальное зарядное устройство объемом не менее 20000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с 2-мя выходами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по 2А кажд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ый, для одновременной подзарядки 2-х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устройств ,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Зарядное устройство должно иметь: индикаторы зарядки 4шт., порта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lightning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провод с разъемом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На зарядном устройстве должна быть выполнена уф-печать логотипа Заказчика.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928B4B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</w:tr>
      <w:tr w:rsidR="006428E1" w:rsidRPr="00AF048C" w14:paraId="02AA3D2E" w14:textId="77777777" w:rsidTr="0040528F">
        <w:trPr>
          <w:trHeight w:val="1785"/>
        </w:trPr>
        <w:tc>
          <w:tcPr>
            <w:tcW w:w="567" w:type="dxa"/>
            <w:shd w:val="clear" w:color="auto" w:fill="auto"/>
            <w:vAlign w:val="center"/>
            <w:hideMark/>
          </w:tcPr>
          <w:p w14:paraId="540D7774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23AC7389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Универсальное зарядное устройство  с фонариком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29D912CE" w14:textId="77777777" w:rsidR="006428E1" w:rsidRPr="00AF048C" w:rsidRDefault="006428E1" w:rsidP="005B728F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зарядное устройство объемом не менее 5200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mAh</w:t>
            </w:r>
            <w:proofErr w:type="spellEnd"/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Зарядное устройство должно иметь индикацию уровня зарядки,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LED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-фонарик. В комплект должно входить: зарядное устройство, кабель с разъемом  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бархатный чехол. На зарядном устройстве должна быть выполнена лазерная гравировка логотипа Заказчика. 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B33FFB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</w:tr>
      <w:tr w:rsidR="006428E1" w:rsidRPr="00AF048C" w14:paraId="01E81218" w14:textId="77777777" w:rsidTr="0040528F">
        <w:trPr>
          <w:trHeight w:val="1500"/>
        </w:trPr>
        <w:tc>
          <w:tcPr>
            <w:tcW w:w="567" w:type="dxa"/>
            <w:shd w:val="clear" w:color="auto" w:fill="auto"/>
            <w:vAlign w:val="center"/>
            <w:hideMark/>
          </w:tcPr>
          <w:p w14:paraId="57F9BBA4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22A069AF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Портативная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bluetooth-cтереосистема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7F0326A7" w14:textId="77777777" w:rsidR="006428E1" w:rsidRPr="00AF048C" w:rsidRDefault="006428E1" w:rsidP="005B7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Портативная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bluetooth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c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тереосистема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В комплекте: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Bluetooth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-стереодинамик, кабель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miniUSB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для зарядки, кабель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AUX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. Нажимной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 xml:space="preserve"> механизм.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Материал: пластик/металл. На изделии должна быть выполнена лазерная гравировка логотипа Заказчика.  В стоимость должна входить разработка макета.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EECAD5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</w:tr>
      <w:tr w:rsidR="006428E1" w:rsidRPr="00AF048C" w14:paraId="7BF0ACAA" w14:textId="77777777" w:rsidTr="0040528F">
        <w:trPr>
          <w:trHeight w:val="1410"/>
        </w:trPr>
        <w:tc>
          <w:tcPr>
            <w:tcW w:w="567" w:type="dxa"/>
            <w:shd w:val="clear" w:color="auto" w:fill="auto"/>
            <w:vAlign w:val="center"/>
            <w:hideMark/>
          </w:tcPr>
          <w:p w14:paraId="3F0AC57C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423" w:type="dxa"/>
            <w:shd w:val="clear" w:color="auto" w:fill="auto"/>
            <w:noWrap/>
            <w:vAlign w:val="center"/>
            <w:hideMark/>
          </w:tcPr>
          <w:p w14:paraId="1B470AAE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футляре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0F717D85" w14:textId="77777777" w:rsidR="006428E1" w:rsidRPr="00AF048C" w:rsidRDefault="006428E1" w:rsidP="0040528F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 в футляре состоит из ручки шариковой и карандаша механического, материал: металл, цвет: ручек синий, </w:t>
            </w:r>
            <w:proofErr w:type="gram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упаковка :</w:t>
            </w:r>
            <w:proofErr w:type="gram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металлический серебристый пенал.  На изделиях должна быть выполнена лазерная гравировка логотипа Заказчика, на пенале уф-печать.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E915A9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</w:tr>
      <w:tr w:rsidR="006428E1" w:rsidRPr="00AF048C" w14:paraId="2F303C9D" w14:textId="77777777" w:rsidTr="006428E1">
        <w:trPr>
          <w:trHeight w:val="1271"/>
        </w:trPr>
        <w:tc>
          <w:tcPr>
            <w:tcW w:w="567" w:type="dxa"/>
            <w:shd w:val="clear" w:color="auto" w:fill="auto"/>
            <w:vAlign w:val="center"/>
            <w:hideMark/>
          </w:tcPr>
          <w:p w14:paraId="5B1CDF6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7DB3771D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Флешки</w:t>
            </w:r>
            <w:proofErr w:type="spellEnd"/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68ED87AC" w14:textId="7777777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флэш карта должна быть объемом не менее 16 ГБ, цвет: серебро/синий, Материал: металл/пластик. На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флешке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7AC04D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</w:tc>
      </w:tr>
      <w:tr w:rsidR="006428E1" w:rsidRPr="00AF048C" w14:paraId="38140D56" w14:textId="77777777" w:rsidTr="006428E1">
        <w:trPr>
          <w:trHeight w:val="560"/>
        </w:trPr>
        <w:tc>
          <w:tcPr>
            <w:tcW w:w="567" w:type="dxa"/>
            <w:shd w:val="clear" w:color="auto" w:fill="auto"/>
            <w:vAlign w:val="center"/>
            <w:hideMark/>
          </w:tcPr>
          <w:p w14:paraId="68922993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A51E4BD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Набор: нож многофункциональный и фонарь в подарочной упаковке</w:t>
            </w:r>
          </w:p>
        </w:tc>
        <w:tc>
          <w:tcPr>
            <w:tcW w:w="6508" w:type="dxa"/>
            <w:shd w:val="clear" w:color="auto" w:fill="auto"/>
            <w:vAlign w:val="center"/>
            <w:hideMark/>
          </w:tcPr>
          <w:p w14:paraId="42C0F58F" w14:textId="77777777" w:rsidR="006428E1" w:rsidRPr="00AF048C" w:rsidRDefault="006428E1" w:rsidP="000A5B71">
            <w:pPr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 состоит из ножа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многофунционального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и фонарика. Фона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>рик должен быть укомплектован б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ат</w:t>
            </w:r>
            <w:r w:rsidR="005B728F" w:rsidRPr="000A5B71">
              <w:rPr>
                <w:color w:val="000000"/>
                <w:sz w:val="22"/>
                <w:szCs w:val="22"/>
                <w:lang w:val="ru-RU" w:eastAsia="ru-RU"/>
              </w:rPr>
              <w:t>а</w:t>
            </w:r>
            <w:r w:rsidR="005B728F">
              <w:rPr>
                <w:color w:val="000000"/>
                <w:sz w:val="22"/>
                <w:szCs w:val="22"/>
                <w:lang w:val="ru-RU" w:eastAsia="ru-RU"/>
              </w:rPr>
              <w:t>рейкой. На ноже и фо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нарике должна быть выполнена лазерная гравировка логотипа Заказчика. Набор должен быть упакован в подарочную упаковку, с печатью логотипа Заказчика синего или серебристого цвета.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99530D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</w:tr>
      <w:tr w:rsidR="006428E1" w:rsidRPr="00AF048C" w14:paraId="3729C449" w14:textId="77777777" w:rsidTr="0040528F">
        <w:trPr>
          <w:trHeight w:val="1845"/>
        </w:trPr>
        <w:tc>
          <w:tcPr>
            <w:tcW w:w="567" w:type="dxa"/>
            <w:shd w:val="clear" w:color="auto" w:fill="auto"/>
            <w:vAlign w:val="center"/>
            <w:hideMark/>
          </w:tcPr>
          <w:p w14:paraId="74508091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F614332" w14:textId="77777777" w:rsidR="006428E1" w:rsidRPr="00AF048C" w:rsidRDefault="000A5B7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из</w:t>
            </w:r>
            <w:proofErr w:type="spellEnd"/>
            <w:r w:rsidR="006428E1"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428E1" w:rsidRPr="00AF048C">
              <w:rPr>
                <w:color w:val="000000"/>
                <w:sz w:val="22"/>
                <w:szCs w:val="22"/>
                <w:lang w:eastAsia="ru-RU"/>
              </w:rPr>
              <w:t>отверток</w:t>
            </w:r>
            <w:proofErr w:type="spellEnd"/>
            <w:r w:rsidR="006428E1" w:rsidRPr="00AF048C">
              <w:rPr>
                <w:color w:val="000000"/>
                <w:sz w:val="22"/>
                <w:szCs w:val="22"/>
                <w:lang w:eastAsia="ru-RU"/>
              </w:rPr>
              <w:t xml:space="preserve"> MULTIPEN</w:t>
            </w:r>
          </w:p>
        </w:tc>
        <w:tc>
          <w:tcPr>
            <w:tcW w:w="6508" w:type="dxa"/>
            <w:shd w:val="clear" w:color="auto" w:fill="auto"/>
            <w:hideMark/>
          </w:tcPr>
          <w:p w14:paraId="615BAD34" w14:textId="77777777" w:rsidR="006428E1" w:rsidRPr="00AF048C" w:rsidRDefault="006428E1" w:rsidP="000A5B71">
            <w:pPr>
              <w:jc w:val="both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 должен выглядеть в виде ручки, в корпусе которой расположены </w:t>
            </w:r>
            <w:r w:rsidR="000A5B71">
              <w:rPr>
                <w:color w:val="000000"/>
                <w:sz w:val="22"/>
                <w:szCs w:val="22"/>
                <w:lang w:val="ru-RU" w:eastAsia="ru-RU"/>
              </w:rPr>
              <w:t>не менее 8 наконечников-отверток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. Материал: металл. На корпусе должна быть выполнена лазерная гравировка логотипа Заказчика.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108E24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</w:tr>
      <w:tr w:rsidR="006428E1" w:rsidRPr="00AF048C" w14:paraId="417EA155" w14:textId="77777777" w:rsidTr="006428E1">
        <w:trPr>
          <w:trHeight w:val="1132"/>
        </w:trPr>
        <w:tc>
          <w:tcPr>
            <w:tcW w:w="567" w:type="dxa"/>
            <w:shd w:val="clear" w:color="auto" w:fill="auto"/>
            <w:vAlign w:val="center"/>
            <w:hideMark/>
          </w:tcPr>
          <w:p w14:paraId="585BE9C1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lastRenderedPageBreak/>
              <w:t>19</w:t>
            </w:r>
          </w:p>
        </w:tc>
        <w:tc>
          <w:tcPr>
            <w:tcW w:w="2423" w:type="dxa"/>
            <w:shd w:val="clear" w:color="auto" w:fill="auto"/>
            <w:noWrap/>
            <w:vAlign w:val="center"/>
            <w:hideMark/>
          </w:tcPr>
          <w:p w14:paraId="592364A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Карандаш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ластиком</w:t>
            </w:r>
            <w:proofErr w:type="spellEnd"/>
          </w:p>
        </w:tc>
        <w:tc>
          <w:tcPr>
            <w:tcW w:w="6508" w:type="dxa"/>
            <w:shd w:val="clear" w:color="auto" w:fill="auto"/>
            <w:hideMark/>
          </w:tcPr>
          <w:p w14:paraId="3DD96F2D" w14:textId="77777777" w:rsidR="006428E1" w:rsidRPr="00AF048C" w:rsidRDefault="006428E1" w:rsidP="0040528F">
            <w:pPr>
              <w:jc w:val="both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Карандаш простой с ластиком. Материал: дерево. Карандаш должен быть заточенным. Цвет синий. На карандаше должно быть выполнено тиснение логотипа Заказчика серебристой фольгой.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8AEBA3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5 000</w:t>
            </w:r>
          </w:p>
        </w:tc>
      </w:tr>
      <w:tr w:rsidR="006428E1" w:rsidRPr="00AF048C" w14:paraId="1BE780DD" w14:textId="77777777" w:rsidTr="0040528F">
        <w:trPr>
          <w:trHeight w:val="1470"/>
        </w:trPr>
        <w:tc>
          <w:tcPr>
            <w:tcW w:w="567" w:type="dxa"/>
            <w:shd w:val="clear" w:color="auto" w:fill="auto"/>
            <w:vAlign w:val="center"/>
            <w:hideMark/>
          </w:tcPr>
          <w:p w14:paraId="320020E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9FB34C1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Ручка шариковая со стилусом для сенсорных экранов, цвет оранжевый, синий</w:t>
            </w:r>
          </w:p>
        </w:tc>
        <w:tc>
          <w:tcPr>
            <w:tcW w:w="6508" w:type="dxa"/>
            <w:shd w:val="clear" w:color="auto" w:fill="auto"/>
            <w:hideMark/>
          </w:tcPr>
          <w:p w14:paraId="4523AD19" w14:textId="77777777" w:rsidR="006428E1" w:rsidRPr="00AF048C" w:rsidRDefault="006428E1" w:rsidP="000A5B71">
            <w:pPr>
              <w:jc w:val="both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Ручка шариковая со стилусом для сенсорных экранов. Материал: металл с софт-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покрытием. Цвет оранжевый и синий. На ручке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B481E2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6 500</w:t>
            </w:r>
          </w:p>
        </w:tc>
      </w:tr>
      <w:tr w:rsidR="006428E1" w:rsidRPr="00AF048C" w14:paraId="65E1C931" w14:textId="77777777" w:rsidTr="006428E1">
        <w:trPr>
          <w:trHeight w:val="983"/>
        </w:trPr>
        <w:tc>
          <w:tcPr>
            <w:tcW w:w="567" w:type="dxa"/>
            <w:shd w:val="clear" w:color="auto" w:fill="auto"/>
            <w:vAlign w:val="center"/>
            <w:hideMark/>
          </w:tcPr>
          <w:p w14:paraId="1B4755E2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1AB69067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Брелок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фонариком</w:t>
            </w:r>
            <w:proofErr w:type="spellEnd"/>
          </w:p>
        </w:tc>
        <w:tc>
          <w:tcPr>
            <w:tcW w:w="6508" w:type="dxa"/>
            <w:shd w:val="clear" w:color="auto" w:fill="auto"/>
            <w:hideMark/>
          </w:tcPr>
          <w:p w14:paraId="68CE75F7" w14:textId="77777777" w:rsidR="006428E1" w:rsidRPr="00AF048C" w:rsidRDefault="006428E1" w:rsidP="0040528F">
            <w:pPr>
              <w:jc w:val="both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Материал: пластик. Цвет: синий, серебристый. На брелоке должна быть выполнена 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0678F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300</w:t>
            </w:r>
          </w:p>
        </w:tc>
      </w:tr>
      <w:tr w:rsidR="006428E1" w:rsidRPr="00AF048C" w14:paraId="4D56F70A" w14:textId="77777777" w:rsidTr="0040528F">
        <w:trPr>
          <w:trHeight w:val="2520"/>
        </w:trPr>
        <w:tc>
          <w:tcPr>
            <w:tcW w:w="567" w:type="dxa"/>
            <w:shd w:val="clear" w:color="auto" w:fill="auto"/>
            <w:vAlign w:val="center"/>
            <w:hideMark/>
          </w:tcPr>
          <w:p w14:paraId="21F03A63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17FCBCC9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подарочный с ежедневником А5 формата</w:t>
            </w:r>
          </w:p>
        </w:tc>
        <w:tc>
          <w:tcPr>
            <w:tcW w:w="6508" w:type="dxa"/>
            <w:shd w:val="clear" w:color="auto" w:fill="auto"/>
            <w:hideMark/>
          </w:tcPr>
          <w:p w14:paraId="55E3362C" w14:textId="77777777" w:rsidR="006428E1" w:rsidRPr="00AF048C" w:rsidRDefault="006428E1" w:rsidP="0040528F">
            <w:pPr>
              <w:jc w:val="both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Ежедневник должен быть А5 формата, синего цвета, недатированный, кожаная обложка, блок должен быть бежевого цвета, серебряный обрез, двойное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ляссе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тиснение логотипа Заказчика серебристой фольгой. Ручка шариковая должна быть металлической, цвет серебро или синий с серебром, класса премиум, стержень синего цвета, на корпусе ручки должна быть выполнена лазерная гравировка логотипа Заказчика. Упаковка и нанесение логотипа: 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</w:t>
            </w:r>
            <w:r w:rsidR="000A5B71" w:rsidRPr="00AF048C">
              <w:rPr>
                <w:color w:val="000000"/>
                <w:sz w:val="22"/>
                <w:szCs w:val="22"/>
                <w:lang w:val="ru-RU" w:eastAsia="ru-RU"/>
              </w:rPr>
              <w:t>Заказчика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серебристой фольгой.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A216F2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</w:tr>
      <w:tr w:rsidR="006428E1" w:rsidRPr="00AF048C" w14:paraId="39D45287" w14:textId="77777777" w:rsidTr="0040528F">
        <w:trPr>
          <w:trHeight w:val="2025"/>
        </w:trPr>
        <w:tc>
          <w:tcPr>
            <w:tcW w:w="567" w:type="dxa"/>
            <w:shd w:val="clear" w:color="auto" w:fill="auto"/>
            <w:vAlign w:val="center"/>
            <w:hideMark/>
          </w:tcPr>
          <w:p w14:paraId="1C500C28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45EF25FC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Набор подарочный с ежедневником А5 формата и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флэшнакопителем</w:t>
            </w:r>
            <w:proofErr w:type="spellEnd"/>
          </w:p>
        </w:tc>
        <w:tc>
          <w:tcPr>
            <w:tcW w:w="6508" w:type="dxa"/>
            <w:shd w:val="clear" w:color="auto" w:fill="auto"/>
            <w:hideMark/>
          </w:tcPr>
          <w:p w14:paraId="02910B05" w14:textId="77777777" w:rsidR="006428E1" w:rsidRPr="00AF048C" w:rsidRDefault="006428E1" w:rsidP="0040528F">
            <w:pPr>
              <w:jc w:val="both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Набор по состав</w:t>
            </w:r>
            <w:r w:rsidR="000A5B71">
              <w:rPr>
                <w:color w:val="000000"/>
                <w:sz w:val="22"/>
                <w:szCs w:val="22"/>
                <w:lang w:val="ru-RU" w:eastAsia="ru-RU"/>
              </w:rPr>
              <w:t>у аналогичен набору по строке 22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, с дополнением: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br/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должен быть объемом не менее 16Гб, с функцией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OTG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т.е. с дополнительным разъемом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Micro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USB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чтобы можно было подключать к мобильным устройствам, поддерживающим стандарт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On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The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>Go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, материал металл, цвет синий или серебристый. На корпусе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флешнакопителя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выполнена лазерная гравировка логотипа Заказчика. </w:t>
            </w:r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стоимость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должна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входить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разработка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макета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06376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 w:rsidRPr="00AF048C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</w:tr>
      <w:tr w:rsidR="006428E1" w:rsidRPr="000A5B71" w14:paraId="20E7C945" w14:textId="77777777" w:rsidTr="0040528F">
        <w:trPr>
          <w:trHeight w:val="2235"/>
        </w:trPr>
        <w:tc>
          <w:tcPr>
            <w:tcW w:w="567" w:type="dxa"/>
            <w:shd w:val="clear" w:color="auto" w:fill="auto"/>
            <w:vAlign w:val="center"/>
            <w:hideMark/>
          </w:tcPr>
          <w:p w14:paraId="216ED96A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2423" w:type="dxa"/>
            <w:shd w:val="clear" w:color="auto" w:fill="auto"/>
            <w:vAlign w:val="center"/>
            <w:hideMark/>
          </w:tcPr>
          <w:p w14:paraId="34977F37" w14:textId="77777777" w:rsidR="006428E1" w:rsidRPr="00AF048C" w:rsidRDefault="006428E1" w:rsidP="0040528F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Набор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подарочный</w:t>
            </w:r>
            <w:proofErr w:type="spellEnd"/>
            <w:r w:rsidRPr="00AF048C">
              <w:rPr>
                <w:color w:val="000000"/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AF048C">
              <w:rPr>
                <w:color w:val="000000"/>
                <w:sz w:val="22"/>
                <w:szCs w:val="22"/>
                <w:lang w:eastAsia="ru-RU"/>
              </w:rPr>
              <w:t>планингом</w:t>
            </w:r>
            <w:proofErr w:type="spellEnd"/>
          </w:p>
        </w:tc>
        <w:tc>
          <w:tcPr>
            <w:tcW w:w="6508" w:type="dxa"/>
            <w:shd w:val="clear" w:color="auto" w:fill="auto"/>
            <w:hideMark/>
          </w:tcPr>
          <w:p w14:paraId="32F8344D" w14:textId="77777777" w:rsidR="006428E1" w:rsidRPr="000A5B71" w:rsidRDefault="006428E1" w:rsidP="000A5B71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Планинг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датированный должен быть синего цвета, обложка из 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кожзама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высокой выделки, блок белый, открытый гребень.</w:t>
            </w:r>
            <w:r w:rsidR="000A5B71">
              <w:rPr>
                <w:color w:val="000000"/>
                <w:sz w:val="22"/>
                <w:szCs w:val="22"/>
                <w:lang w:val="ru-RU" w:eastAsia="ru-RU"/>
              </w:rPr>
              <w:t xml:space="preserve"> Т</w:t>
            </w:r>
            <w:r w:rsidR="000A5B71" w:rsidRPr="00AF048C">
              <w:rPr>
                <w:color w:val="000000"/>
                <w:sz w:val="22"/>
                <w:szCs w:val="22"/>
                <w:lang w:val="ru-RU" w:eastAsia="ru-RU"/>
              </w:rPr>
              <w:t>иснение логотипа Заказчика серебристой фольгой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Ручка шариковая, с функцией стилуса для сенсорных экранов, цвет: синий/хром, металл с софт-</w:t>
            </w:r>
            <w:proofErr w:type="spellStart"/>
            <w:r w:rsidRPr="00AF048C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покрытием, на корпусе ручки должна быть выполнена лазерная гравировка логотипа Заказчика. Набор должен быть упакован </w:t>
            </w:r>
            <w:r w:rsidR="000A5B71">
              <w:rPr>
                <w:color w:val="000000"/>
                <w:sz w:val="22"/>
                <w:szCs w:val="22"/>
                <w:lang w:val="ru-RU" w:eastAsia="ru-RU"/>
              </w:rPr>
              <w:t>в подарочную упаковку.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0A5B71">
              <w:rPr>
                <w:color w:val="000000"/>
                <w:sz w:val="22"/>
                <w:szCs w:val="22"/>
                <w:lang w:val="ru-RU" w:eastAsia="ru-RU"/>
              </w:rPr>
              <w:t>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FB4736" w14:textId="77777777" w:rsidR="006428E1" w:rsidRPr="000A5B71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0A5B71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77213035" w14:textId="77777777" w:rsidR="006428E1" w:rsidRDefault="006428E1" w:rsidP="00A21EE4">
      <w:pPr>
        <w:jc w:val="both"/>
        <w:rPr>
          <w:sz w:val="22"/>
          <w:szCs w:val="22"/>
          <w:lang w:val="ru-RU"/>
        </w:rPr>
      </w:pPr>
    </w:p>
    <w:p w14:paraId="4F4360C8" w14:textId="77777777" w:rsidR="00512817" w:rsidRDefault="00512817" w:rsidP="00A21EE4">
      <w:pPr>
        <w:jc w:val="both"/>
        <w:rPr>
          <w:sz w:val="22"/>
          <w:szCs w:val="22"/>
          <w:lang w:val="ru-RU"/>
        </w:rPr>
      </w:pPr>
    </w:p>
    <w:p w14:paraId="66E4B87D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6F867976" w14:textId="77777777"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5" w:name="_Toc108421509"/>
      <w:bookmarkStart w:id="6" w:name="_Toc161728042"/>
      <w:bookmarkStart w:id="7" w:name="_Toc62298242"/>
      <w:bookmarkStart w:id="8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14:paraId="14EE8CD8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</w:t>
      </w:r>
      <w:r w:rsidR="006428E1">
        <w:rPr>
          <w:sz w:val="22"/>
          <w:szCs w:val="22"/>
          <w:lang w:val="ru-RU"/>
        </w:rPr>
        <w:t>вности рассмотрения предложений</w:t>
      </w:r>
      <w:r w:rsidRPr="00F14630">
        <w:rPr>
          <w:sz w:val="22"/>
          <w:szCs w:val="22"/>
          <w:lang w:val="ru-RU"/>
        </w:rPr>
        <w:t>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14:paraId="1E9E0061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2E814EC6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5"/>
      <w:bookmarkEnd w:id="6"/>
      <w:r w:rsidRPr="00F14630">
        <w:rPr>
          <w:szCs w:val="22"/>
          <w:u w:val="single"/>
        </w:rPr>
        <w:t xml:space="preserve">: </w:t>
      </w:r>
      <w:bookmarkEnd w:id="7"/>
      <w:bookmarkEnd w:id="8"/>
    </w:p>
    <w:p w14:paraId="31B7CAFC" w14:textId="77777777"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14:paraId="72F30334" w14:textId="77777777" w:rsidR="008F26BB" w:rsidRPr="008F26BB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с даты подписания договора</w:t>
      </w:r>
    </w:p>
    <w:p w14:paraId="6FCEE40A" w14:textId="77777777"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9" w:name="_Toc62298243"/>
      <w:bookmarkStart w:id="10" w:name="_Toc64948215"/>
      <w:bookmarkStart w:id="11" w:name="_Toc108421510"/>
      <w:bookmarkStart w:id="12" w:name="_Toc161728043"/>
      <w:r w:rsidRPr="00F14630">
        <w:rPr>
          <w:szCs w:val="22"/>
        </w:rPr>
        <w:lastRenderedPageBreak/>
        <w:t xml:space="preserve">  </w:t>
      </w:r>
    </w:p>
    <w:p w14:paraId="6F0F411A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9"/>
      <w:bookmarkEnd w:id="10"/>
      <w:bookmarkEnd w:id="11"/>
      <w:bookmarkEnd w:id="12"/>
      <w:r w:rsidRPr="00F14630">
        <w:rPr>
          <w:szCs w:val="22"/>
          <w:u w:val="single"/>
        </w:rPr>
        <w:t>:</w:t>
      </w:r>
    </w:p>
    <w:p w14:paraId="37416AD2" w14:textId="6D241324" w:rsidR="00667BA2" w:rsidRPr="00F14630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</w:t>
      </w:r>
      <w:r w:rsidR="00B00F63">
        <w:rPr>
          <w:snapToGrid w:val="0"/>
          <w:sz w:val="22"/>
          <w:szCs w:val="22"/>
          <w:lang w:val="ru-RU" w:eastAsia="ru-RU"/>
        </w:rPr>
        <w:t>продукцию</w:t>
      </w:r>
      <w:bookmarkStart w:id="13" w:name="_GoBack"/>
      <w:bookmarkEnd w:id="13"/>
      <w:r w:rsidRPr="00F14630">
        <w:rPr>
          <w:snapToGrid w:val="0"/>
          <w:sz w:val="22"/>
          <w:szCs w:val="22"/>
          <w:lang w:val="ru-RU" w:eastAsia="ru-RU"/>
        </w:rPr>
        <w:t>, в соответствии с гарантийным сроком и условиями, определенными фирмой – производителем.</w:t>
      </w:r>
    </w:p>
    <w:p w14:paraId="63ABD52D" w14:textId="77777777" w:rsidR="00667BA2" w:rsidRPr="00F14630" w:rsidRDefault="00667BA2">
      <w:pPr>
        <w:rPr>
          <w:sz w:val="22"/>
          <w:szCs w:val="22"/>
          <w:lang w:val="ru-RU"/>
        </w:rPr>
      </w:pPr>
    </w:p>
    <w:p w14:paraId="521E05D9" w14:textId="77777777" w:rsidR="001834D1" w:rsidRPr="00F14630" w:rsidRDefault="001834D1">
      <w:pPr>
        <w:rPr>
          <w:sz w:val="22"/>
          <w:szCs w:val="22"/>
          <w:lang w:val="ru-RU"/>
        </w:rPr>
      </w:pPr>
    </w:p>
    <w:p w14:paraId="64D34240" w14:textId="77777777" w:rsidR="00064377" w:rsidRPr="00F14630" w:rsidRDefault="00064377">
      <w:pPr>
        <w:rPr>
          <w:sz w:val="22"/>
          <w:szCs w:val="22"/>
          <w:lang w:val="ru-RU"/>
        </w:rPr>
      </w:pPr>
    </w:p>
    <w:sectPr w:rsidR="00064377" w:rsidRPr="00F14630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A2"/>
    <w:rsid w:val="00031348"/>
    <w:rsid w:val="000475CE"/>
    <w:rsid w:val="00064377"/>
    <w:rsid w:val="000950DE"/>
    <w:rsid w:val="000A5B71"/>
    <w:rsid w:val="000B6F87"/>
    <w:rsid w:val="000E01F2"/>
    <w:rsid w:val="001669FF"/>
    <w:rsid w:val="001834D1"/>
    <w:rsid w:val="001C37E6"/>
    <w:rsid w:val="001E7BEF"/>
    <w:rsid w:val="00291740"/>
    <w:rsid w:val="00325777"/>
    <w:rsid w:val="00372E3E"/>
    <w:rsid w:val="003B79C4"/>
    <w:rsid w:val="003D26A3"/>
    <w:rsid w:val="00434CD7"/>
    <w:rsid w:val="004907C5"/>
    <w:rsid w:val="004D05B7"/>
    <w:rsid w:val="004D64EE"/>
    <w:rsid w:val="00504681"/>
    <w:rsid w:val="00512817"/>
    <w:rsid w:val="005B728F"/>
    <w:rsid w:val="005D667E"/>
    <w:rsid w:val="00642793"/>
    <w:rsid w:val="006428E1"/>
    <w:rsid w:val="00667BA2"/>
    <w:rsid w:val="006D286D"/>
    <w:rsid w:val="006F0594"/>
    <w:rsid w:val="00710094"/>
    <w:rsid w:val="007928E8"/>
    <w:rsid w:val="007E6D44"/>
    <w:rsid w:val="008374CD"/>
    <w:rsid w:val="008A27FD"/>
    <w:rsid w:val="008D4698"/>
    <w:rsid w:val="008F26BB"/>
    <w:rsid w:val="0095595F"/>
    <w:rsid w:val="00956772"/>
    <w:rsid w:val="0097061D"/>
    <w:rsid w:val="00991206"/>
    <w:rsid w:val="009A764B"/>
    <w:rsid w:val="009F1771"/>
    <w:rsid w:val="009F5AA2"/>
    <w:rsid w:val="00A13747"/>
    <w:rsid w:val="00A21E99"/>
    <w:rsid w:val="00A21EE4"/>
    <w:rsid w:val="00A51308"/>
    <w:rsid w:val="00AB038C"/>
    <w:rsid w:val="00B00F63"/>
    <w:rsid w:val="00BA42F6"/>
    <w:rsid w:val="00BA633E"/>
    <w:rsid w:val="00C47E59"/>
    <w:rsid w:val="00CB70DF"/>
    <w:rsid w:val="00CD5DC2"/>
    <w:rsid w:val="00CF3D5D"/>
    <w:rsid w:val="00D21462"/>
    <w:rsid w:val="00D26463"/>
    <w:rsid w:val="00D55926"/>
    <w:rsid w:val="00D64C86"/>
    <w:rsid w:val="00D831B1"/>
    <w:rsid w:val="00DA163A"/>
    <w:rsid w:val="00E20A53"/>
    <w:rsid w:val="00E55B8D"/>
    <w:rsid w:val="00EF09D1"/>
    <w:rsid w:val="00F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49DC"/>
  <w15:docId w15:val="{C6076A28-7541-4911-986B-EE2DC08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7B69F-864C-4848-8709-1C7346A9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Хрущев Андрей Геннадьевич</cp:lastModifiedBy>
  <cp:revision>5</cp:revision>
  <dcterms:created xsi:type="dcterms:W3CDTF">2020-10-19T07:03:00Z</dcterms:created>
  <dcterms:modified xsi:type="dcterms:W3CDTF">2020-11-12T03:11:00Z</dcterms:modified>
</cp:coreProperties>
</file>